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RRT Partner Kit</w:t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Email Copy</w:t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New ways to bank with [BANK NAME]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Preview: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See what’s new</w:t>
      </w:r>
    </w:p>
    <w:p w:rsidR="00000000" w:rsidDel="00000000" w:rsidP="00000000" w:rsidRDefault="00000000" w:rsidRPr="00000000" w14:paraId="00000008">
      <w:pPr>
        <w:rPr>
          <w:rFonts w:ascii="Play" w:cs="Play" w:eastAsia="Play" w:hAnsi="Play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Hero:</w:t>
      </w:r>
    </w:p>
    <w:p w:rsidR="00000000" w:rsidDel="00000000" w:rsidP="00000000" w:rsidRDefault="00000000" w:rsidRPr="00000000" w14:paraId="0000000A">
      <w:pPr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Transfer your coins on your terms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Play" w:cs="Play" w:eastAsia="Play" w:hAnsi="Play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Subhead: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Fast, simple, and on your schedule.</w:t>
      </w:r>
    </w:p>
    <w:p w:rsidR="00000000" w:rsidDel="00000000" w:rsidP="00000000" w:rsidRDefault="00000000" w:rsidRPr="00000000" w14:paraId="0000000E">
      <w:pPr>
        <w:spacing w:after="0" w:before="280" w:line="240" w:lineRule="auto"/>
        <w:rPr>
          <w:rFonts w:ascii="-webkit-standard" w:cs="-webkit-standard" w:eastAsia="-webkit-standard" w:hAnsi="-webkit-standard"/>
          <w:color w:val="000000"/>
          <w:sz w:val="27"/>
          <w:szCs w:val="27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Body: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line="240" w:lineRule="auto"/>
        <w:rPr>
          <w:rFonts w:ascii="Play" w:cs="Play" w:eastAsia="Play" w:hAnsi="Play"/>
          <w:color w:val="000000"/>
        </w:rPr>
      </w:pPr>
      <w:r w:rsidDel="00000000" w:rsidR="00000000" w:rsidRPr="00000000">
        <w:rPr>
          <w:rFonts w:ascii="Play" w:cs="Play" w:eastAsia="Play" w:hAnsi="Play"/>
          <w:color w:val="000000"/>
          <w:rtl w:val="0"/>
        </w:rPr>
        <w:t xml:space="preserve">Life is busy. That’s why we’ve partnered with Coinstar®—to make everyday banking easier. You can now transfer coins and cash i</w:t>
      </w:r>
      <w:r w:rsidDel="00000000" w:rsidR="00000000" w:rsidRPr="00000000">
        <w:rPr>
          <w:rFonts w:ascii="Play" w:cs="Play" w:eastAsia="Play" w:hAnsi="Play"/>
          <w:rtl w:val="0"/>
        </w:rPr>
        <w:t xml:space="preserve">n minutes</w:t>
      </w:r>
      <w:r w:rsidDel="00000000" w:rsidR="00000000" w:rsidRPr="00000000">
        <w:rPr>
          <w:rFonts w:ascii="Play" w:cs="Play" w:eastAsia="Play" w:hAnsi="Play"/>
          <w:color w:val="000000"/>
          <w:rtl w:val="0"/>
        </w:rPr>
        <w:t xml:space="preserve">, directly into your [BANK NAME] account at thousands of swipe-enabled kiosks nationwide. </w:t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Play" w:cs="Play" w:eastAsia="Play" w:hAnsi="Play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CTA:</w:t>
      </w: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</w: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Find a kiosk near you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Play" w:cs="Play" w:eastAsia="Play" w:hAnsi="Play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Subhead: 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Fast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</w: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Body:</w:t>
      </w: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  <w:t xml:space="preserve">No slips, no lines—just quick hassle-free transfers.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Play" w:cs="Play" w:eastAsia="Play" w:hAnsi="Play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Subhead: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Simple</w:t>
      </w:r>
    </w:p>
    <w:p w:rsidR="00000000" w:rsidDel="00000000" w:rsidP="00000000" w:rsidRDefault="00000000" w:rsidRPr="00000000" w14:paraId="00000019">
      <w:pPr>
        <w:spacing w:after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</w: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Body:</w:t>
      </w: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  <w:t xml:space="preserve">Pour in your coins, swipe your card, and you’re done.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Play" w:cs="Play" w:eastAsia="Play" w:hAnsi="Play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Subhead: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Convenient</w:t>
      </w:r>
    </w:p>
    <w:p w:rsidR="00000000" w:rsidDel="00000000" w:rsidP="00000000" w:rsidRDefault="00000000" w:rsidRPr="00000000" w14:paraId="0000001D">
      <w:pPr>
        <w:spacing w:after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</w: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Body:</w:t>
      </w: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  <w:t xml:space="preserve">Transfer right where you shop—no extra trips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Play" w:cs="Play" w:eastAsia="Play" w:hAnsi="Play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28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Subhead: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Play" w:cs="Play" w:eastAsia="Play" w:hAnsi="Play"/>
          <w:b w:val="1"/>
          <w:color w:val="000000"/>
        </w:rPr>
      </w:pP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Turn everyday errands into better money management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Play" w:cs="Play" w:eastAsia="Play" w:hAnsi="Play"/>
          <w:color w:val="000000"/>
        </w:rPr>
      </w:pPr>
      <w:r w:rsidDel="00000000" w:rsidR="00000000" w:rsidRPr="00000000">
        <w:rPr>
          <w:rFonts w:ascii="Play" w:cs="Play" w:eastAsia="Play" w:hAnsi="Play"/>
          <w:color w:val="000000"/>
          <w:rtl w:val="0"/>
        </w:rPr>
        <w:br w:type="textWrapping"/>
      </w:r>
      <w:r w:rsidDel="00000000" w:rsidR="00000000" w:rsidRPr="00000000">
        <w:rPr>
          <w:rFonts w:ascii="Play" w:cs="Play" w:eastAsia="Play" w:hAnsi="Play"/>
          <w:b w:val="1"/>
          <w:color w:val="000000"/>
          <w:rtl w:val="0"/>
        </w:rPr>
        <w:t xml:space="preserve">Body: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Play" w:cs="Play" w:eastAsia="Play" w:hAnsi="Play"/>
          <w:color w:val="000000"/>
        </w:rPr>
      </w:pPr>
      <w:r w:rsidDel="00000000" w:rsidR="00000000" w:rsidRPr="00000000">
        <w:rPr>
          <w:rFonts w:ascii="Play" w:cs="Play" w:eastAsia="Play" w:hAnsi="Play"/>
          <w:color w:val="000000"/>
          <w:rtl w:val="0"/>
        </w:rPr>
        <w:t xml:space="preserve">From spare change to spending power in seconds at over 10,000 swipe-enabled Coinstar® kiosks—conveniently located in the stores you already shop.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-webkit-standar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228B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228B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228B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F228B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F228B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F228B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228B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228BC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228BC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228BC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228BC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228BC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F228B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F228B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228B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F228BC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F228BC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F228BC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228B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228BC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F228BC"/>
    <w:rPr>
      <w:b w:val="1"/>
      <w:bCs w:val="1"/>
      <w:smallCaps w:val="1"/>
      <w:color w:val="0f4761" w:themeColor="accent1" w:themeShade="0000BF"/>
      <w:spacing w:val="5"/>
    </w:rPr>
  </w:style>
  <w:style w:type="character" w:styleId="Strong">
    <w:name w:val="Strong"/>
    <w:basedOn w:val="DefaultParagraphFont"/>
    <w:uiPriority w:val="22"/>
    <w:qFormat w:val="1"/>
    <w:rsid w:val="00EA679A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EA679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7QBYctKwH52+jRyDCRUEyLYNvg==">CgMxLjA4AHIhMVFmOWpCeGw0b1VFeTV2X3lDN3FPWlJmTVFNdUI4SkUy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2025-09-08T02:57:00Z</dcterms:created>
  <dc:creator>Alison Stackhouse</dc:creator>
</cp:coreProperties>
</file>